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SỐ TÀI KHOẢN CTV ELLEMAN_THÁNG 1/2024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CTV Minh Thuận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Ngân hàng: Vietcombank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Số tài khoản: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0"/>
        </w:rPr>
        <w:t xml:space="preserve">0381000588489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0"/>
        </w:rPr>
        <w:t xml:space="preserve">Chi nhánh: Lê Văn Việt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0"/>
        </w:rPr>
        <w:t xml:space="preserve">Tên: Nguyễn Minh Thuận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